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9C4F" w14:textId="77777777" w:rsidR="00A856A8" w:rsidRDefault="00A856A8" w:rsidP="00A856A8">
      <w:pPr>
        <w:jc w:val="center"/>
      </w:pPr>
      <w:bookmarkStart w:id="0" w:name="_GoBack"/>
      <w:bookmarkEnd w:id="0"/>
      <w:r>
        <w:rPr>
          <w:noProof/>
          <w:color w:val="0000FF"/>
          <w:lang w:eastAsia="en-GB"/>
        </w:rPr>
        <w:drawing>
          <wp:inline distT="0" distB="0" distL="0" distR="0" wp14:anchorId="137BFD61" wp14:editId="16B41E00">
            <wp:extent cx="3048000" cy="1257300"/>
            <wp:effectExtent l="0" t="0" r="0" b="0"/>
            <wp:docPr id="1" name="Picture 1" descr="Liverpool Hope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Hope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2F5B" w14:textId="77777777" w:rsidR="00A856A8" w:rsidRDefault="00A856A8" w:rsidP="00A856A8">
      <w:pPr>
        <w:jc w:val="center"/>
      </w:pPr>
    </w:p>
    <w:p w14:paraId="11B799CB" w14:textId="77777777" w:rsidR="00A856A8" w:rsidRDefault="00A856A8" w:rsidP="00A856A8">
      <w:pPr>
        <w:jc w:val="center"/>
      </w:pPr>
    </w:p>
    <w:p w14:paraId="4B93AB28" w14:textId="77777777" w:rsidR="00A856A8" w:rsidRDefault="00A856A8" w:rsidP="00A856A8">
      <w:pPr>
        <w:jc w:val="center"/>
      </w:pPr>
    </w:p>
    <w:p w14:paraId="7B19F006" w14:textId="77777777" w:rsidR="00A856A8" w:rsidRDefault="00A856A8" w:rsidP="00A856A8">
      <w:pPr>
        <w:jc w:val="center"/>
      </w:pPr>
    </w:p>
    <w:p w14:paraId="2D1A15DC" w14:textId="77777777" w:rsidR="00A856A8" w:rsidRDefault="00A856A8" w:rsidP="00A856A8">
      <w:pPr>
        <w:jc w:val="center"/>
      </w:pPr>
    </w:p>
    <w:p w14:paraId="5CC5602D" w14:textId="77777777" w:rsidR="00A856A8" w:rsidRDefault="00A856A8" w:rsidP="00A856A8">
      <w:pPr>
        <w:jc w:val="center"/>
      </w:pPr>
    </w:p>
    <w:p w14:paraId="1B079496" w14:textId="77777777" w:rsidR="00A856A8" w:rsidRDefault="00A856A8" w:rsidP="00A856A8">
      <w:pPr>
        <w:jc w:val="center"/>
      </w:pPr>
    </w:p>
    <w:p w14:paraId="0CDC0A19" w14:textId="77777777" w:rsidR="00A856A8" w:rsidRPr="00A538ED" w:rsidRDefault="00A856A8" w:rsidP="00A856A8">
      <w:pPr>
        <w:jc w:val="center"/>
        <w:rPr>
          <w:color w:val="FF0000"/>
          <w:sz w:val="72"/>
        </w:rPr>
      </w:pPr>
      <w:r w:rsidRPr="00A538ED">
        <w:rPr>
          <w:color w:val="FF0000"/>
          <w:sz w:val="72"/>
        </w:rPr>
        <w:t xml:space="preserve">EQUALITY AND DIVERSITY STAFF DATA REPORT </w:t>
      </w:r>
    </w:p>
    <w:p w14:paraId="707C1F1F" w14:textId="77777777" w:rsidR="00A856A8" w:rsidRDefault="00A856A8" w:rsidP="00A856A8">
      <w:pPr>
        <w:jc w:val="center"/>
        <w:rPr>
          <w:color w:val="FF0000"/>
          <w:sz w:val="72"/>
        </w:rPr>
      </w:pPr>
      <w:r>
        <w:rPr>
          <w:color w:val="FF0000"/>
          <w:sz w:val="72"/>
        </w:rPr>
        <w:t>2018-19</w:t>
      </w:r>
    </w:p>
    <w:p w14:paraId="64C2D162" w14:textId="77777777" w:rsidR="00A856A8" w:rsidRDefault="00A856A8" w:rsidP="00A856A8">
      <w:pPr>
        <w:jc w:val="center"/>
        <w:rPr>
          <w:color w:val="FF0000"/>
          <w:sz w:val="72"/>
        </w:rPr>
      </w:pPr>
    </w:p>
    <w:p w14:paraId="20E796D0" w14:textId="77777777" w:rsidR="00A856A8" w:rsidRDefault="00A856A8" w:rsidP="00A856A8">
      <w:pPr>
        <w:jc w:val="center"/>
        <w:rPr>
          <w:color w:val="FF0000"/>
          <w:sz w:val="72"/>
        </w:rPr>
      </w:pPr>
    </w:p>
    <w:p w14:paraId="6F9166DA" w14:textId="77777777" w:rsidR="00A856A8" w:rsidRDefault="00A856A8" w:rsidP="00A856A8">
      <w:pPr>
        <w:jc w:val="center"/>
        <w:rPr>
          <w:color w:val="FF0000"/>
          <w:sz w:val="72"/>
        </w:rPr>
      </w:pPr>
    </w:p>
    <w:p w14:paraId="3823A95D" w14:textId="77777777" w:rsidR="00A856A8" w:rsidRDefault="00A856A8" w:rsidP="00A856A8">
      <w:pPr>
        <w:jc w:val="center"/>
        <w:rPr>
          <w:color w:val="FF0000"/>
          <w:sz w:val="72"/>
        </w:rPr>
      </w:pPr>
    </w:p>
    <w:p w14:paraId="4B252B7A" w14:textId="77777777" w:rsidR="00A856A8" w:rsidRDefault="00A856A8" w:rsidP="00A856A8">
      <w:pPr>
        <w:jc w:val="center"/>
        <w:rPr>
          <w:color w:val="FF0000"/>
          <w:sz w:val="72"/>
        </w:rPr>
      </w:pPr>
    </w:p>
    <w:p w14:paraId="6C01C73A" w14:textId="77777777" w:rsidR="00A856A8" w:rsidRDefault="00A856A8" w:rsidP="00A856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This report provides Equality and Diversity data in relation to staff at Liverpool Hope University for the academic year 2018-19.  The data is compared with that produced in the 2017-18 report and subsequent reports will follow on providing time series analysis.  This should enable evidence based decision making on issues the University needs to address regarding access, inclusion and fairness.</w:t>
      </w:r>
    </w:p>
    <w:p w14:paraId="1B44E918" w14:textId="77777777" w:rsidR="00A856A8" w:rsidRDefault="00A856A8" w:rsidP="00A856A8">
      <w:pPr>
        <w:rPr>
          <w:sz w:val="24"/>
          <w:szCs w:val="24"/>
        </w:rPr>
      </w:pPr>
      <w:r>
        <w:rPr>
          <w:sz w:val="24"/>
          <w:szCs w:val="24"/>
        </w:rPr>
        <w:t>The data is benchmarked against Advance HE’s latest “Equality in higher education staff statistical report 2019” which analyses the</w:t>
      </w:r>
      <w:r w:rsidR="008E3E99">
        <w:rPr>
          <w:sz w:val="24"/>
          <w:szCs w:val="24"/>
        </w:rPr>
        <w:t xml:space="preserve"> academic workforce for 2017-18.</w:t>
      </w:r>
    </w:p>
    <w:p w14:paraId="3DAEFC49" w14:textId="77777777" w:rsidR="006727CD" w:rsidRDefault="008E3E99" w:rsidP="00A856A8">
      <w:pPr>
        <w:rPr>
          <w:sz w:val="24"/>
          <w:szCs w:val="24"/>
        </w:rPr>
      </w:pPr>
      <w:r>
        <w:rPr>
          <w:sz w:val="24"/>
          <w:szCs w:val="24"/>
        </w:rPr>
        <w:t xml:space="preserve">The data is based on headcount rather than </w:t>
      </w:r>
      <w:proofErr w:type="spellStart"/>
      <w:r>
        <w:rPr>
          <w:sz w:val="24"/>
          <w:szCs w:val="24"/>
        </w:rPr>
        <w:t>f.t.e</w:t>
      </w:r>
      <w:proofErr w:type="spellEnd"/>
      <w:r>
        <w:rPr>
          <w:sz w:val="24"/>
          <w:szCs w:val="24"/>
        </w:rPr>
        <w:t>. and does not include temporary or hourly paid staff.</w:t>
      </w:r>
      <w:r w:rsidR="006727CD">
        <w:rPr>
          <w:sz w:val="24"/>
          <w:szCs w:val="24"/>
        </w:rPr>
        <w:t xml:space="preserve">  Total number of staff is 755 which is rather less than 815 in the last report. This is because an adjustment has been made to staff recorded as “SPOT” – the last report included some non-core staff whereas in the latest report, SPOT staff only includes staff paid above point 51 on the pay spine.</w:t>
      </w:r>
    </w:p>
    <w:p w14:paraId="7D1149B1" w14:textId="77777777" w:rsidR="008E3E99" w:rsidRPr="00A856A8" w:rsidRDefault="008E3E99" w:rsidP="00A856A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D13AC2" w14:paraId="6C69347E" w14:textId="77777777" w:rsidTr="00D13AC2">
        <w:tc>
          <w:tcPr>
            <w:tcW w:w="2689" w:type="dxa"/>
          </w:tcPr>
          <w:p w14:paraId="1B450EF4" w14:textId="77777777" w:rsidR="00D13AC2" w:rsidRPr="005F117C" w:rsidRDefault="00D13AC2">
            <w:pPr>
              <w:rPr>
                <w:b/>
              </w:rPr>
            </w:pPr>
            <w:r w:rsidRPr="005F117C">
              <w:rPr>
                <w:b/>
              </w:rPr>
              <w:t>BENCHMARKING</w:t>
            </w:r>
          </w:p>
          <w:p w14:paraId="435B5FA9" w14:textId="77777777" w:rsidR="00D13AC2" w:rsidRPr="005F117C" w:rsidRDefault="00D13AC2">
            <w:pPr>
              <w:rPr>
                <w:b/>
              </w:rPr>
            </w:pPr>
          </w:p>
        </w:tc>
        <w:tc>
          <w:tcPr>
            <w:tcW w:w="1819" w:type="dxa"/>
          </w:tcPr>
          <w:p w14:paraId="2371B901" w14:textId="77777777" w:rsidR="00D13AC2" w:rsidRPr="005F117C" w:rsidRDefault="00D13AC2" w:rsidP="00D13AC2">
            <w:pPr>
              <w:jc w:val="center"/>
              <w:rPr>
                <w:b/>
              </w:rPr>
            </w:pPr>
            <w:r w:rsidRPr="005F117C">
              <w:rPr>
                <w:b/>
              </w:rPr>
              <w:t>Known Disability</w:t>
            </w:r>
          </w:p>
        </w:tc>
        <w:tc>
          <w:tcPr>
            <w:tcW w:w="2254" w:type="dxa"/>
          </w:tcPr>
          <w:p w14:paraId="5CD31056" w14:textId="77777777" w:rsidR="00D13AC2" w:rsidRPr="005F117C" w:rsidRDefault="00D13AC2" w:rsidP="00D13AC2">
            <w:pPr>
              <w:jc w:val="center"/>
              <w:rPr>
                <w:b/>
              </w:rPr>
            </w:pPr>
            <w:r w:rsidRPr="005F117C">
              <w:rPr>
                <w:b/>
              </w:rPr>
              <w:t>Female</w:t>
            </w:r>
          </w:p>
        </w:tc>
        <w:tc>
          <w:tcPr>
            <w:tcW w:w="2254" w:type="dxa"/>
          </w:tcPr>
          <w:p w14:paraId="28269D31" w14:textId="77777777" w:rsidR="00D13AC2" w:rsidRPr="005F117C" w:rsidRDefault="00D13AC2" w:rsidP="00D13AC2">
            <w:pPr>
              <w:jc w:val="center"/>
              <w:rPr>
                <w:b/>
              </w:rPr>
            </w:pPr>
            <w:r w:rsidRPr="005F117C">
              <w:rPr>
                <w:b/>
              </w:rPr>
              <w:t>BAME</w:t>
            </w:r>
          </w:p>
        </w:tc>
      </w:tr>
      <w:tr w:rsidR="00D13AC2" w14:paraId="7C4D7598" w14:textId="77777777" w:rsidTr="00D13AC2">
        <w:tc>
          <w:tcPr>
            <w:tcW w:w="2689" w:type="dxa"/>
          </w:tcPr>
          <w:p w14:paraId="1B0FC1DB" w14:textId="77777777" w:rsidR="00D13AC2" w:rsidRDefault="00D13AC2">
            <w:r>
              <w:t>Advance HE 2017-18 UK</w:t>
            </w:r>
          </w:p>
          <w:p w14:paraId="468CC09B" w14:textId="77777777" w:rsidR="00D13AC2" w:rsidRDefault="00D13AC2"/>
        </w:tc>
        <w:tc>
          <w:tcPr>
            <w:tcW w:w="1819" w:type="dxa"/>
          </w:tcPr>
          <w:p w14:paraId="20C5D02E" w14:textId="77777777" w:rsidR="00D13AC2" w:rsidRDefault="00D13AC2" w:rsidP="00D13AC2">
            <w:pPr>
              <w:jc w:val="center"/>
            </w:pPr>
            <w:r>
              <w:t>5.0%</w:t>
            </w:r>
          </w:p>
        </w:tc>
        <w:tc>
          <w:tcPr>
            <w:tcW w:w="2254" w:type="dxa"/>
          </w:tcPr>
          <w:p w14:paraId="5FD02E54" w14:textId="77777777" w:rsidR="00D13AC2" w:rsidRDefault="00D13AC2" w:rsidP="00D13AC2">
            <w:pPr>
              <w:jc w:val="center"/>
            </w:pPr>
            <w:r>
              <w:t>54.4%</w:t>
            </w:r>
          </w:p>
        </w:tc>
        <w:tc>
          <w:tcPr>
            <w:tcW w:w="2254" w:type="dxa"/>
          </w:tcPr>
          <w:p w14:paraId="508E4081" w14:textId="77777777" w:rsidR="00D13AC2" w:rsidRDefault="00D13AC2" w:rsidP="00D13AC2">
            <w:pPr>
              <w:jc w:val="center"/>
            </w:pPr>
            <w:r>
              <w:t>9.</w:t>
            </w:r>
            <w:r w:rsidR="00B90CBC">
              <w:t>0</w:t>
            </w:r>
            <w:r>
              <w:t>%</w:t>
            </w:r>
          </w:p>
        </w:tc>
      </w:tr>
      <w:tr w:rsidR="00D13AC2" w14:paraId="758FD4C5" w14:textId="77777777" w:rsidTr="00773534">
        <w:tc>
          <w:tcPr>
            <w:tcW w:w="2689" w:type="dxa"/>
            <w:shd w:val="clear" w:color="auto" w:fill="BFBFBF" w:themeFill="background1" w:themeFillShade="BF"/>
          </w:tcPr>
          <w:p w14:paraId="42A5352A" w14:textId="77777777" w:rsidR="00D13AC2" w:rsidRDefault="00D13AC2">
            <w:r>
              <w:t>Liverpool Hope University</w:t>
            </w:r>
          </w:p>
          <w:p w14:paraId="56F56A4B" w14:textId="77777777" w:rsidR="00D13AC2" w:rsidRDefault="00773534">
            <w:r>
              <w:t>2017-18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14:paraId="1FFB9784" w14:textId="77777777" w:rsidR="00D13AC2" w:rsidRDefault="00773534" w:rsidP="00D13AC2">
            <w:pPr>
              <w:jc w:val="center"/>
            </w:pPr>
            <w:r>
              <w:t>8.0%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11F05562" w14:textId="77777777" w:rsidR="00D13AC2" w:rsidRDefault="00773534" w:rsidP="00D13AC2">
            <w:pPr>
              <w:jc w:val="center"/>
            </w:pPr>
            <w:r>
              <w:t>59.0%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4C084D71" w14:textId="77777777" w:rsidR="00D13AC2" w:rsidRDefault="00773534" w:rsidP="00D13AC2">
            <w:pPr>
              <w:jc w:val="center"/>
            </w:pPr>
            <w:r>
              <w:t>5.5%</w:t>
            </w:r>
          </w:p>
        </w:tc>
      </w:tr>
      <w:tr w:rsidR="00773534" w14:paraId="7215E0F3" w14:textId="77777777" w:rsidTr="00D13AC2">
        <w:tc>
          <w:tcPr>
            <w:tcW w:w="2689" w:type="dxa"/>
          </w:tcPr>
          <w:p w14:paraId="29E278E9" w14:textId="77777777" w:rsidR="00773534" w:rsidRDefault="00773534">
            <w:r>
              <w:t>Liverpool Hope University</w:t>
            </w:r>
          </w:p>
          <w:p w14:paraId="7045597C" w14:textId="77777777" w:rsidR="00773534" w:rsidRDefault="00773534">
            <w:r>
              <w:t>2018-19</w:t>
            </w:r>
          </w:p>
        </w:tc>
        <w:tc>
          <w:tcPr>
            <w:tcW w:w="1819" w:type="dxa"/>
          </w:tcPr>
          <w:p w14:paraId="2F86D7E5" w14:textId="77777777" w:rsidR="00773534" w:rsidRDefault="00773534" w:rsidP="00D13AC2">
            <w:pPr>
              <w:jc w:val="center"/>
            </w:pPr>
            <w:r>
              <w:t>12.0%</w:t>
            </w:r>
          </w:p>
        </w:tc>
        <w:tc>
          <w:tcPr>
            <w:tcW w:w="2254" w:type="dxa"/>
          </w:tcPr>
          <w:p w14:paraId="63152AC1" w14:textId="77777777" w:rsidR="00773534" w:rsidRDefault="00773534" w:rsidP="00773534">
            <w:pPr>
              <w:jc w:val="center"/>
            </w:pPr>
            <w:r>
              <w:t>58.0%</w:t>
            </w:r>
          </w:p>
        </w:tc>
        <w:tc>
          <w:tcPr>
            <w:tcW w:w="2254" w:type="dxa"/>
          </w:tcPr>
          <w:p w14:paraId="3E1621A7" w14:textId="77777777" w:rsidR="00773534" w:rsidRDefault="00773534" w:rsidP="00D13AC2">
            <w:pPr>
              <w:jc w:val="center"/>
            </w:pPr>
            <w:r>
              <w:t>5.35%</w:t>
            </w:r>
          </w:p>
        </w:tc>
      </w:tr>
    </w:tbl>
    <w:p w14:paraId="4C63CFF3" w14:textId="77777777" w:rsidR="000926C1" w:rsidRDefault="002F7154"/>
    <w:p w14:paraId="2C2D78EB" w14:textId="77777777" w:rsidR="005F117C" w:rsidRDefault="005F117C"/>
    <w:p w14:paraId="67848877" w14:textId="77777777" w:rsidR="00152E17" w:rsidRDefault="00152E17"/>
    <w:p w14:paraId="627426CD" w14:textId="77777777" w:rsidR="00BB70E0" w:rsidRPr="00BB70E0" w:rsidRDefault="00152E17">
      <w:pPr>
        <w:rPr>
          <w:sz w:val="44"/>
          <w:szCs w:val="44"/>
        </w:rPr>
      </w:pPr>
      <w:r w:rsidRPr="005456A3">
        <w:rPr>
          <w:sz w:val="44"/>
          <w:szCs w:val="44"/>
        </w:rPr>
        <w:t>Age</w:t>
      </w:r>
      <w:r w:rsidR="00FE6445">
        <w:rPr>
          <w:sz w:val="44"/>
          <w:szCs w:val="44"/>
        </w:rPr>
        <w:fldChar w:fldCharType="begin"/>
      </w:r>
      <w:r w:rsidR="00FE6445" w:rsidRPr="005456A3">
        <w:rPr>
          <w:sz w:val="44"/>
          <w:szCs w:val="44"/>
        </w:rPr>
        <w:instrText xml:space="preserve"> LINK </w:instrText>
      </w:r>
      <w:r w:rsidR="00BB70E0">
        <w:rPr>
          <w:sz w:val="44"/>
          <w:szCs w:val="44"/>
        </w:rPr>
        <w:instrText xml:space="preserve">Excel.Sheet.12 "C:\\Users\\lewint\\Desktop\\E&amp;D Report Charts.xlsx" Sheet1!R1C37:R10C43 </w:instrText>
      </w:r>
      <w:r w:rsidR="00FE6445" w:rsidRPr="005456A3">
        <w:rPr>
          <w:sz w:val="44"/>
          <w:szCs w:val="44"/>
        </w:rPr>
        <w:instrText xml:space="preserve">\a \f 4 \h </w:instrText>
      </w:r>
      <w:r w:rsidR="005456A3">
        <w:rPr>
          <w:sz w:val="44"/>
          <w:szCs w:val="44"/>
        </w:rPr>
        <w:instrText xml:space="preserve"> \* MERGEFORMAT </w:instrText>
      </w:r>
      <w:r w:rsidR="00FE6445">
        <w:rPr>
          <w:sz w:val="44"/>
          <w:szCs w:val="44"/>
        </w:rPr>
        <w:fldChar w:fldCharType="separate"/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1302"/>
        <w:gridCol w:w="1158"/>
        <w:gridCol w:w="960"/>
        <w:gridCol w:w="960"/>
        <w:gridCol w:w="1259"/>
        <w:gridCol w:w="1121"/>
        <w:gridCol w:w="1020"/>
      </w:tblGrid>
      <w:tr w:rsidR="00BB70E0" w:rsidRPr="00BB70E0" w14:paraId="67478970" w14:textId="77777777" w:rsidTr="00BB70E0">
        <w:trPr>
          <w:divId w:val="853572467"/>
          <w:trHeight w:val="30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840E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Age - Academic Staff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D10B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8989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DE2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Age - Support Staff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6B05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B70E0" w:rsidRPr="00BB70E0" w14:paraId="4B7F58AA" w14:textId="77777777" w:rsidTr="00BB70E0">
        <w:trPr>
          <w:divId w:val="853572467"/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9BC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AF849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044D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DA83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9393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467341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A09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</w:tr>
      <w:tr w:rsidR="00BB70E0" w:rsidRPr="00BB70E0" w14:paraId="1DA3AA15" w14:textId="77777777" w:rsidTr="00BB70E0">
        <w:trPr>
          <w:divId w:val="853572467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5316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Under 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57153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3A38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519C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8A49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Under 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B410B3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785E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BB70E0" w:rsidRPr="00BB70E0" w14:paraId="59D18A65" w14:textId="77777777" w:rsidTr="00BB70E0">
        <w:trPr>
          <w:divId w:val="853572467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ABE4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21-30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8F0F83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EB95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888D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F65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21-30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7EC0C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07C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BB70E0" w:rsidRPr="00BB70E0" w14:paraId="47AB21B8" w14:textId="77777777" w:rsidTr="00BB70E0">
        <w:trPr>
          <w:divId w:val="853572467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B1E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31-40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FE035A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B49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652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9B8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31-40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DB0131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D79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</w:tr>
      <w:tr w:rsidR="00BB70E0" w:rsidRPr="00BB70E0" w14:paraId="32B3139B" w14:textId="77777777" w:rsidTr="00BB70E0">
        <w:trPr>
          <w:divId w:val="853572467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5F1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41-50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876B7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BBE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59E2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EF1F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41-50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83EB3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029D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</w:tr>
      <w:tr w:rsidR="00BB70E0" w:rsidRPr="00BB70E0" w14:paraId="2C0898FD" w14:textId="77777777" w:rsidTr="00BB70E0">
        <w:trPr>
          <w:divId w:val="853572467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0198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51-60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BDE75C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E4F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C4C7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FC75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51-60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A9D923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FC3E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</w:tr>
      <w:tr w:rsidR="00BB70E0" w:rsidRPr="00BB70E0" w14:paraId="32F9E9C6" w14:textId="77777777" w:rsidTr="00BB70E0">
        <w:trPr>
          <w:divId w:val="853572467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D9CE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61-65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DA101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9628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3A7F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FC4B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61-65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FEA149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57C5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</w:tr>
      <w:tr w:rsidR="00BB70E0" w:rsidRPr="00BB70E0" w14:paraId="6E2498A8" w14:textId="77777777" w:rsidTr="00BB70E0">
        <w:trPr>
          <w:divId w:val="853572467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162A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Over 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11CCE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D29F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D1B0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20E" w14:textId="77777777" w:rsidR="00BB70E0" w:rsidRPr="00BB70E0" w:rsidRDefault="00BB70E0" w:rsidP="00BB7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Over 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BA5A1C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DB15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0E0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</w:tr>
      <w:tr w:rsidR="00BB70E0" w:rsidRPr="00BB70E0" w14:paraId="1D305742" w14:textId="77777777" w:rsidTr="00BB70E0">
        <w:trPr>
          <w:divId w:val="853572467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51C1" w14:textId="77777777" w:rsidR="003F3BF9" w:rsidRDefault="003F3BF9" w:rsidP="003F3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6AA222C" w14:textId="77777777" w:rsidR="003F3BF9" w:rsidRDefault="003F3BF9" w:rsidP="003F3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7EDA948" w14:textId="77777777" w:rsidR="003F3BF9" w:rsidRPr="00BB70E0" w:rsidRDefault="003F3BF9" w:rsidP="003F3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0AF3" w14:textId="77777777" w:rsidR="00BB70E0" w:rsidRPr="00BB70E0" w:rsidRDefault="00BB70E0" w:rsidP="00BB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ACF1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A13E" w14:textId="77777777" w:rsidR="00BB70E0" w:rsidRPr="00BB70E0" w:rsidRDefault="00BB70E0" w:rsidP="00BB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C5ED" w14:textId="77777777" w:rsidR="00BB70E0" w:rsidRPr="00BB70E0" w:rsidRDefault="00BB70E0" w:rsidP="00BB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FF6C" w14:textId="77777777" w:rsidR="00BB70E0" w:rsidRPr="00BB70E0" w:rsidRDefault="00BB70E0" w:rsidP="00BB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A269" w14:textId="77777777" w:rsidR="00BB70E0" w:rsidRPr="00BB70E0" w:rsidRDefault="00BB70E0" w:rsidP="00BB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29052E5" w14:textId="77777777" w:rsidR="003F3BF9" w:rsidRDefault="00FE6445">
      <w:r>
        <w:fldChar w:fldCharType="end"/>
      </w:r>
      <w:r w:rsidR="003F3BF9">
        <w:t>Notes:</w:t>
      </w:r>
    </w:p>
    <w:p w14:paraId="55C905D0" w14:textId="77777777" w:rsidR="00BB70E0" w:rsidRDefault="003F3BF9" w:rsidP="003F3BF9">
      <w:pPr>
        <w:pStyle w:val="ListParagraph"/>
        <w:numPr>
          <w:ilvl w:val="0"/>
          <w:numId w:val="1"/>
        </w:numPr>
      </w:pPr>
      <w:r>
        <w:t>Latest figures show there are no core staff in the under 21 age category</w:t>
      </w:r>
    </w:p>
    <w:p w14:paraId="1BF0E89D" w14:textId="77777777" w:rsidR="00FE6445" w:rsidRDefault="003F3BF9" w:rsidP="003F3BF9">
      <w:pPr>
        <w:pStyle w:val="ListParagraph"/>
        <w:numPr>
          <w:ilvl w:val="0"/>
          <w:numId w:val="1"/>
        </w:numPr>
      </w:pPr>
      <w:r>
        <w:t>The majority of staff sit in the 41-50 and 51-60 age categories</w:t>
      </w:r>
    </w:p>
    <w:p w14:paraId="04187FAB" w14:textId="77777777" w:rsidR="00FE6445" w:rsidRPr="003F3BF9" w:rsidRDefault="00FE6445">
      <w:pPr>
        <w:rPr>
          <w:sz w:val="40"/>
          <w:szCs w:val="40"/>
        </w:rPr>
      </w:pPr>
      <w:r w:rsidRPr="005456A3">
        <w:rPr>
          <w:sz w:val="40"/>
          <w:szCs w:val="40"/>
        </w:rPr>
        <w:lastRenderedPageBreak/>
        <w:t>Gender</w:t>
      </w:r>
    </w:p>
    <w:tbl>
      <w:tblPr>
        <w:tblW w:w="5529" w:type="dxa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2"/>
        <w:gridCol w:w="993"/>
      </w:tblGrid>
      <w:tr w:rsidR="005456A3" w:rsidRPr="005456A3" w14:paraId="60C10DD6" w14:textId="77777777" w:rsidTr="005456A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722D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Gender - Academic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04E3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3874" w14:textId="77777777" w:rsidR="005456A3" w:rsidRPr="005456A3" w:rsidRDefault="005456A3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8A0" w14:textId="77777777" w:rsidR="005456A3" w:rsidRPr="005456A3" w:rsidRDefault="005456A3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56A3" w:rsidRPr="005456A3" w14:paraId="11D47C94" w14:textId="77777777" w:rsidTr="005456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B12B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413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447E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</w:tr>
      <w:tr w:rsidR="005456A3" w:rsidRPr="005456A3" w14:paraId="49D8594C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F556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73B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4BF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23B6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CC2C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5456A3" w:rsidRPr="005456A3" w14:paraId="20012594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3FC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DB93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263A95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A23F4B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2FFED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56A3" w:rsidRPr="005456A3" w14:paraId="74022B36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699E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FBDD9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2F37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C2061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FE07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56A3" w:rsidRPr="005456A3" w14:paraId="1DDA62AC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07E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59CE93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56BE36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BEB2B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9AA6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56A3" w:rsidRPr="005456A3" w14:paraId="18D599D1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7A1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7F6FB3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D1BAA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B297E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38D6E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56A3" w:rsidRPr="005456A3" w14:paraId="66EC66C8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AD48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6928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F0F31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6AAB6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FCEC6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56A3" w:rsidRPr="005456A3" w14:paraId="2A87EB01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361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989938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AD00A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BC92D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B05E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5456A3" w:rsidRPr="005456A3" w14:paraId="4EB7388C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B92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17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159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29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6959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</w:tr>
      <w:tr w:rsidR="005456A3" w:rsidRPr="005456A3" w14:paraId="77D63E68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C0F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E63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80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2CAA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88D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</w:tr>
      <w:tr w:rsidR="005456A3" w:rsidRPr="005456A3" w14:paraId="5A0C94C1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1F47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DE9B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4DE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A34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49C4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5456A3" w:rsidRPr="005456A3" w14:paraId="6787F236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4EE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F8C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A18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65C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F7BD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5456A3" w:rsidRPr="005456A3" w14:paraId="3A47F9D5" w14:textId="77777777" w:rsidTr="005456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F8AD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SPOT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F6BD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E19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1BF7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A62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</w:tbl>
    <w:p w14:paraId="764842E8" w14:textId="77777777" w:rsidR="00F86B32" w:rsidRDefault="00F86B32"/>
    <w:tbl>
      <w:tblPr>
        <w:tblW w:w="5529" w:type="dxa"/>
        <w:tblLook w:val="04A0" w:firstRow="1" w:lastRow="0" w:firstColumn="1" w:lastColumn="0" w:noHBand="0" w:noVBand="1"/>
      </w:tblPr>
      <w:tblGrid>
        <w:gridCol w:w="1478"/>
        <w:gridCol w:w="1074"/>
        <w:gridCol w:w="992"/>
        <w:gridCol w:w="992"/>
        <w:gridCol w:w="993"/>
      </w:tblGrid>
      <w:tr w:rsidR="005456A3" w:rsidRPr="005456A3" w14:paraId="07F9EC68" w14:textId="77777777" w:rsidTr="005456A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903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Gender - Support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9650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35F5" w14:textId="77777777" w:rsidR="005456A3" w:rsidRPr="005456A3" w:rsidRDefault="005456A3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C900" w14:textId="77777777" w:rsidR="005456A3" w:rsidRPr="005456A3" w:rsidRDefault="005456A3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56A3" w:rsidRPr="005456A3" w14:paraId="4A140317" w14:textId="77777777" w:rsidTr="00A00444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F85F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BB1CE4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28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</w:tr>
      <w:tr w:rsidR="005456A3" w:rsidRPr="005456A3" w14:paraId="06FCC47E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3FB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EDC118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156168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24A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A81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5456A3" w:rsidRPr="005456A3" w14:paraId="31A9BA8A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025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DFE205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EEDE1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C95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A1C3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5456A3" w:rsidRPr="005456A3" w14:paraId="640247AD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DFB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334BD3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F097E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05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2271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5456A3" w:rsidRPr="005456A3" w14:paraId="0CB52C0E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727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731DF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50B165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398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3C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  <w:tr w:rsidR="005456A3" w:rsidRPr="005456A3" w14:paraId="23D88A18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FDE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0405C4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5DF9EE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57A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A018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</w:tr>
      <w:tr w:rsidR="005456A3" w:rsidRPr="005456A3" w14:paraId="672FB6C1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83C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AF7481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15697B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6DC0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EF8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</w:tr>
      <w:tr w:rsidR="005456A3" w:rsidRPr="005456A3" w14:paraId="4A617575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FFD4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9D2934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428AC8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DACC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8A2C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</w:tr>
      <w:tr w:rsidR="005456A3" w:rsidRPr="005456A3" w14:paraId="239549FC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3C1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0AFC52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7E9B07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8BA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8F5A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</w:tr>
      <w:tr w:rsidR="005456A3" w:rsidRPr="005456A3" w14:paraId="33D0078D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1DAB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32E9C9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3F947E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82C3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646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5456A3" w:rsidRPr="005456A3" w14:paraId="6B0A31AB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A2F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C7FE5E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765F6C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9511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770E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5456A3" w:rsidRPr="005456A3" w14:paraId="0F6BA521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84F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4E437D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7FF35D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4419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6319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5456A3" w:rsidRPr="005456A3" w14:paraId="089CC7E5" w14:textId="77777777" w:rsidTr="00A00444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DF5" w14:textId="77777777" w:rsidR="005456A3" w:rsidRPr="005456A3" w:rsidRDefault="005456A3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SPOT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7A97F8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24E85F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7833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7BF" w14:textId="77777777" w:rsidR="005456A3" w:rsidRPr="005456A3" w:rsidRDefault="005456A3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</w:tbl>
    <w:p w14:paraId="01AD5943" w14:textId="77777777" w:rsidR="00F86B32" w:rsidRDefault="00F86B32"/>
    <w:p w14:paraId="7246143D" w14:textId="77777777" w:rsidR="003F3BF9" w:rsidRDefault="003F3BF9">
      <w:r>
        <w:t>Notes:</w:t>
      </w:r>
    </w:p>
    <w:p w14:paraId="05834B26" w14:textId="77777777" w:rsidR="003F3BF9" w:rsidRDefault="003F3BF9" w:rsidP="003F3BF9">
      <w:pPr>
        <w:pStyle w:val="ListParagraph"/>
        <w:numPr>
          <w:ilvl w:val="0"/>
          <w:numId w:val="2"/>
        </w:numPr>
      </w:pPr>
      <w:r>
        <w:t>Females make up 58% of all staff with most sitting at lower grades and fewer at higher levels (Grade 9 and above)</w:t>
      </w:r>
    </w:p>
    <w:p w14:paraId="18E692E6" w14:textId="77777777" w:rsidR="003F3BF9" w:rsidRDefault="003F3BF9" w:rsidP="003F3BF9">
      <w:pPr>
        <w:pStyle w:val="ListParagraph"/>
        <w:numPr>
          <w:ilvl w:val="0"/>
          <w:numId w:val="2"/>
        </w:numPr>
      </w:pPr>
      <w:r>
        <w:t>There are significantly fewer males in Grade 4 Support roles (predominantly administration)</w:t>
      </w:r>
    </w:p>
    <w:p w14:paraId="609E4DD4" w14:textId="77777777" w:rsidR="003F3BF9" w:rsidRDefault="003F3BF9"/>
    <w:p w14:paraId="341CBAC6" w14:textId="77777777" w:rsidR="00F86B32" w:rsidRDefault="00F86B32"/>
    <w:p w14:paraId="4D3601F7" w14:textId="77777777" w:rsidR="00F86B32" w:rsidRDefault="00F86B32"/>
    <w:p w14:paraId="2BF637E0" w14:textId="77777777" w:rsidR="00F86B32" w:rsidRDefault="00F86B32"/>
    <w:p w14:paraId="1FCA495E" w14:textId="77777777" w:rsidR="00F86B32" w:rsidRPr="005456A3" w:rsidRDefault="00F86B32">
      <w:pPr>
        <w:rPr>
          <w:sz w:val="40"/>
          <w:szCs w:val="40"/>
        </w:rPr>
      </w:pPr>
      <w:r w:rsidRPr="005456A3">
        <w:rPr>
          <w:sz w:val="40"/>
          <w:szCs w:val="40"/>
        </w:rPr>
        <w:lastRenderedPageBreak/>
        <w:t>Disability</w:t>
      </w:r>
    </w:p>
    <w:p w14:paraId="2E6D6F72" w14:textId="77777777" w:rsidR="00F86B32" w:rsidRDefault="00F86B32"/>
    <w:p w14:paraId="37592927" w14:textId="77777777" w:rsidR="00F86B32" w:rsidRDefault="00F86B32">
      <w:r>
        <w:rPr>
          <w:noProof/>
          <w:lang w:eastAsia="en-GB"/>
        </w:rPr>
        <w:drawing>
          <wp:inline distT="0" distB="0" distL="0" distR="0" wp14:anchorId="16EF9C7A" wp14:editId="0152A9D3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8C949B" w14:textId="77777777" w:rsidR="00F86B32" w:rsidRDefault="00F86B32"/>
    <w:p w14:paraId="162DFD8A" w14:textId="77777777" w:rsidR="003F3BF9" w:rsidRDefault="003F3BF9">
      <w:r>
        <w:t>Notes:</w:t>
      </w:r>
    </w:p>
    <w:p w14:paraId="7D645B17" w14:textId="77777777" w:rsidR="003F3BF9" w:rsidRDefault="003F3BF9" w:rsidP="003F3BF9">
      <w:pPr>
        <w:pStyle w:val="ListParagraph"/>
        <w:numPr>
          <w:ilvl w:val="0"/>
          <w:numId w:val="3"/>
        </w:numPr>
      </w:pPr>
      <w:r>
        <w:t>Numbers of staff declaring a disability have increased significantly – probably as a result of the personal data update exercise carried out by Personnel in 2018</w:t>
      </w:r>
    </w:p>
    <w:p w14:paraId="0E0777E5" w14:textId="77777777" w:rsidR="00F86B32" w:rsidRDefault="00F86B32"/>
    <w:p w14:paraId="4F8F4D74" w14:textId="77777777" w:rsidR="005456A3" w:rsidRDefault="005456A3"/>
    <w:p w14:paraId="479B3CFF" w14:textId="77777777" w:rsidR="00F86B32" w:rsidRPr="005456A3" w:rsidRDefault="005456A3">
      <w:pPr>
        <w:rPr>
          <w:sz w:val="40"/>
          <w:szCs w:val="40"/>
        </w:rPr>
      </w:pPr>
      <w:r>
        <w:rPr>
          <w:sz w:val="40"/>
          <w:szCs w:val="40"/>
        </w:rPr>
        <w:t>Ethnicity</w:t>
      </w:r>
    </w:p>
    <w:tbl>
      <w:tblPr>
        <w:tblW w:w="5265" w:type="dxa"/>
        <w:tblLook w:val="04A0" w:firstRow="1" w:lastRow="0" w:firstColumn="1" w:lastColumn="0" w:noHBand="0" w:noVBand="1"/>
      </w:tblPr>
      <w:tblGrid>
        <w:gridCol w:w="1885"/>
        <w:gridCol w:w="1087"/>
        <w:gridCol w:w="931"/>
        <w:gridCol w:w="1087"/>
        <w:gridCol w:w="960"/>
      </w:tblGrid>
      <w:tr w:rsidR="00F86B32" w:rsidRPr="00F86B32" w14:paraId="72759118" w14:textId="77777777" w:rsidTr="00F86B32">
        <w:trPr>
          <w:trHeight w:val="30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E505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Ethnicity by Contract Type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B740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233" w14:textId="77777777" w:rsidR="00F86B32" w:rsidRPr="00F86B32" w:rsidRDefault="00F86B32" w:rsidP="00F8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86B32" w:rsidRPr="00F86B32" w14:paraId="58B85489" w14:textId="77777777" w:rsidTr="00A00444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C5E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1A755C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1A4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</w:tr>
      <w:tr w:rsidR="00F86B32" w:rsidRPr="00F86B32" w14:paraId="56382F98" w14:textId="77777777" w:rsidTr="00A00444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24F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B551D0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Academic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106C7C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954F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Academic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D62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Support</w:t>
            </w:r>
          </w:p>
        </w:tc>
      </w:tr>
      <w:tr w:rsidR="00F86B32" w:rsidRPr="00F86B32" w14:paraId="18791332" w14:textId="77777777" w:rsidTr="00A00444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AFA3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Arab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0CDCBF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7D981A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FC14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74EA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86B32" w:rsidRPr="00F86B32" w14:paraId="7472A4AC" w14:textId="77777777" w:rsidTr="00A00444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2500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B267E9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4939AD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6821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25C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F86B32" w:rsidRPr="00F86B32" w14:paraId="3F8CEF83" w14:textId="77777777" w:rsidTr="00A00444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10F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E0CFEA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951A67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573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2A49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F86B32" w:rsidRPr="00F86B32" w14:paraId="1C3B01C4" w14:textId="77777777" w:rsidTr="00A00444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8E3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Chinese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71ED35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A5BB55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84BF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5733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86B32" w:rsidRPr="00F86B32" w14:paraId="158271D9" w14:textId="77777777" w:rsidTr="00A00444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858F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73921F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B97A90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534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257F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F86B32" w:rsidRPr="00F86B32" w14:paraId="5AA5C533" w14:textId="77777777" w:rsidTr="00A00444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D49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458FFD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B1A7E9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F08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345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F86B32" w:rsidRPr="00F86B32" w14:paraId="36A66A4C" w14:textId="77777777" w:rsidTr="00A00444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E64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Unknown/Refused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7F6548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5D426A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C62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735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</w:tbl>
    <w:p w14:paraId="2948A85F" w14:textId="77777777" w:rsidR="00F86B32" w:rsidRDefault="00F86B32"/>
    <w:p w14:paraId="63701848" w14:textId="77777777" w:rsidR="00D5761B" w:rsidRDefault="00D5761B">
      <w:r>
        <w:t>Notes:</w:t>
      </w:r>
    </w:p>
    <w:p w14:paraId="5E605ED7" w14:textId="77777777" w:rsidR="00D5761B" w:rsidRDefault="00D5761B" w:rsidP="00EB5986">
      <w:pPr>
        <w:pStyle w:val="ListParagraph"/>
        <w:numPr>
          <w:ilvl w:val="0"/>
          <w:numId w:val="3"/>
        </w:numPr>
      </w:pPr>
      <w:r>
        <w:t>BAME figures continue to be low</w:t>
      </w:r>
      <w:r w:rsidR="00D0676C">
        <w:t>er</w:t>
      </w:r>
      <w:r>
        <w:t xml:space="preserve"> in Support areas</w:t>
      </w:r>
    </w:p>
    <w:p w14:paraId="32235265" w14:textId="77777777" w:rsidR="00D5761B" w:rsidRDefault="00D5761B"/>
    <w:p w14:paraId="101CC2F0" w14:textId="77777777" w:rsidR="00F86B32" w:rsidRPr="005456A3" w:rsidRDefault="005456A3">
      <w:pPr>
        <w:rPr>
          <w:sz w:val="40"/>
          <w:szCs w:val="40"/>
        </w:rPr>
      </w:pPr>
      <w:r w:rsidRPr="005456A3">
        <w:rPr>
          <w:sz w:val="40"/>
          <w:szCs w:val="40"/>
        </w:rPr>
        <w:lastRenderedPageBreak/>
        <w:t>Sexual Orientation</w:t>
      </w:r>
    </w:p>
    <w:p w14:paraId="3A6F2749" w14:textId="77777777" w:rsidR="007C5955" w:rsidRDefault="007C5955"/>
    <w:tbl>
      <w:tblPr>
        <w:tblW w:w="4111" w:type="dxa"/>
        <w:tblLook w:val="04A0" w:firstRow="1" w:lastRow="0" w:firstColumn="1" w:lastColumn="0" w:noHBand="0" w:noVBand="1"/>
      </w:tblPr>
      <w:tblGrid>
        <w:gridCol w:w="1985"/>
        <w:gridCol w:w="992"/>
        <w:gridCol w:w="1134"/>
      </w:tblGrid>
      <w:tr w:rsidR="00F86B32" w:rsidRPr="00F86B32" w14:paraId="728ABA04" w14:textId="77777777" w:rsidTr="007C5955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FAE7" w14:textId="77777777" w:rsidR="007C5955" w:rsidRPr="00F86B32" w:rsidRDefault="007C595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287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86B32" w:rsidRPr="00F86B32" w14:paraId="20101D72" w14:textId="77777777" w:rsidTr="00A004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567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B4E444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C200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</w:tr>
      <w:tr w:rsidR="00F86B32" w:rsidRPr="00F86B32" w14:paraId="21A17C56" w14:textId="77777777" w:rsidTr="00A004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4EAB" w14:textId="77777777" w:rsidR="00F86B32" w:rsidRPr="00F86B32" w:rsidRDefault="00F86B32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Not given/PNTS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44CF10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6398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</w:tr>
      <w:tr w:rsidR="00F86B32" w:rsidRPr="00F86B32" w14:paraId="7658356A" w14:textId="77777777" w:rsidTr="00A004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B8F9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63F81B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00E0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F86B32" w:rsidRPr="00F86B32" w14:paraId="3B469FD3" w14:textId="77777777" w:rsidTr="00A004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B83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Hetersexual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F46419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62B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575</w:t>
            </w:r>
          </w:p>
        </w:tc>
      </w:tr>
      <w:tr w:rsidR="00F86B32" w:rsidRPr="00F86B32" w14:paraId="1E76FF2A" w14:textId="77777777" w:rsidTr="00A004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3367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Gay woman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B6B069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C9D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F86B32" w:rsidRPr="00F86B32" w14:paraId="34B9FD0C" w14:textId="77777777" w:rsidTr="00A004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6B6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Gay 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9956C2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26DF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F86B32" w:rsidRPr="00F86B32" w14:paraId="393E984C" w14:textId="77777777" w:rsidTr="00A004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8C80" w14:textId="77777777" w:rsidR="00F86B32" w:rsidRPr="00F86B32" w:rsidRDefault="00F86B32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Bixexual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73EDDC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EDA" w14:textId="77777777" w:rsidR="00F86B32" w:rsidRPr="00F86B32" w:rsidRDefault="00F86B3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</w:tbl>
    <w:p w14:paraId="3165730D" w14:textId="77777777" w:rsidR="00F86B32" w:rsidRDefault="00F86B32"/>
    <w:p w14:paraId="1BFB9297" w14:textId="77777777" w:rsidR="00D5761B" w:rsidRDefault="00D5761B">
      <w:r>
        <w:t>Notes:</w:t>
      </w:r>
    </w:p>
    <w:p w14:paraId="1D336EAB" w14:textId="77777777" w:rsidR="00D5761B" w:rsidRDefault="00D5761B" w:rsidP="00D5761B">
      <w:pPr>
        <w:pStyle w:val="ListParagraph"/>
        <w:numPr>
          <w:ilvl w:val="0"/>
          <w:numId w:val="3"/>
        </w:numPr>
      </w:pPr>
      <w:r>
        <w:t>The number of staff providing information increased in 2018-19 – again, probably as a result of the personal data update exercise carried out by Personnel in 2018</w:t>
      </w:r>
    </w:p>
    <w:p w14:paraId="5929585B" w14:textId="77777777" w:rsidR="007C5955" w:rsidRDefault="007C5955"/>
    <w:p w14:paraId="222F8AC7" w14:textId="77777777" w:rsidR="007C5955" w:rsidRPr="005456A3" w:rsidRDefault="005456A3">
      <w:pPr>
        <w:rPr>
          <w:sz w:val="40"/>
          <w:szCs w:val="40"/>
        </w:rPr>
      </w:pPr>
      <w:r w:rsidRPr="005456A3">
        <w:rPr>
          <w:sz w:val="40"/>
          <w:szCs w:val="40"/>
        </w:rPr>
        <w:t>Religion and Belief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1418"/>
        <w:gridCol w:w="1417"/>
        <w:gridCol w:w="1276"/>
      </w:tblGrid>
      <w:tr w:rsidR="007C5955" w:rsidRPr="007C5955" w14:paraId="790BAF4C" w14:textId="77777777" w:rsidTr="005456A3">
        <w:trPr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C777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EB89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C5955" w:rsidRPr="007C5955" w14:paraId="220F65B6" w14:textId="77777777" w:rsidTr="00A0044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F038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1C66B1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FAD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</w:tr>
      <w:tr w:rsidR="007C5955" w:rsidRPr="007C5955" w14:paraId="55BC3B97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C651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Not given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6DEB0A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C1C4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167</w:t>
            </w:r>
          </w:p>
        </w:tc>
      </w:tr>
      <w:tr w:rsidR="007C5955" w:rsidRPr="007C5955" w14:paraId="10CC016D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352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Bahai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57371C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A3E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C5955" w:rsidRPr="007C5955" w14:paraId="68D04AB5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F36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3A68CC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2F74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C5955" w:rsidRPr="007C5955" w14:paraId="6D3BD295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EC3B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Spiritual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494B2E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2F2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7C5955" w:rsidRPr="007C5955" w14:paraId="778A77B1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1B6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Muslim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1EE607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7C40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7C5955" w:rsidRPr="007C5955" w14:paraId="4668F0B0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657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Jewish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45F6F5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632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7C5955" w:rsidRPr="007C5955" w14:paraId="57B6B6C1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7671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Hindu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5A931C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CA5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7C5955" w:rsidRPr="007C5955" w14:paraId="41546BBC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887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Christian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1E316D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E6C9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367</w:t>
            </w:r>
          </w:p>
        </w:tc>
      </w:tr>
      <w:tr w:rsidR="007C5955" w:rsidRPr="007C5955" w14:paraId="02A860BD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668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Buddhist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551F31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47E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C5955" w:rsidRPr="007C5955" w14:paraId="6112E884" w14:textId="77777777" w:rsidTr="00A00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D98D" w14:textId="77777777" w:rsidR="007C5955" w:rsidRPr="007C5955" w:rsidRDefault="007C5955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0DB41E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EBB" w14:textId="77777777" w:rsidR="007C5955" w:rsidRPr="007C5955" w:rsidRDefault="007C5955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199</w:t>
            </w:r>
          </w:p>
        </w:tc>
      </w:tr>
    </w:tbl>
    <w:p w14:paraId="2D6EECB7" w14:textId="77777777" w:rsidR="007C5955" w:rsidRDefault="007C5955"/>
    <w:sectPr w:rsidR="007C595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059B3" w14:textId="77777777" w:rsidR="00F64B4E" w:rsidRDefault="00F64B4E" w:rsidP="00EF2A07">
      <w:pPr>
        <w:spacing w:after="0" w:line="240" w:lineRule="auto"/>
      </w:pPr>
      <w:r>
        <w:separator/>
      </w:r>
    </w:p>
  </w:endnote>
  <w:endnote w:type="continuationSeparator" w:id="0">
    <w:p w14:paraId="2B5EAD5F" w14:textId="77777777" w:rsidR="00F64B4E" w:rsidRDefault="00F64B4E" w:rsidP="00E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9CF3" w14:textId="77777777" w:rsidR="00F64B4E" w:rsidRDefault="00F64B4E" w:rsidP="00EF2A07">
      <w:pPr>
        <w:spacing w:after="0" w:line="240" w:lineRule="auto"/>
      </w:pPr>
      <w:r>
        <w:separator/>
      </w:r>
    </w:p>
  </w:footnote>
  <w:footnote w:type="continuationSeparator" w:id="0">
    <w:p w14:paraId="027BC0C7" w14:textId="77777777" w:rsidR="00F64B4E" w:rsidRDefault="00F64B4E" w:rsidP="00E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32BB" w14:textId="34564A4E" w:rsidR="00EF2A07" w:rsidRDefault="00EF2A07">
    <w:pPr>
      <w:pStyle w:val="Header"/>
    </w:pPr>
    <w:r>
      <w:tab/>
    </w:r>
    <w:r>
      <w:tab/>
      <w:t>ED 638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47C3"/>
    <w:multiLevelType w:val="hybridMultilevel"/>
    <w:tmpl w:val="78BA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6BC9"/>
    <w:multiLevelType w:val="hybridMultilevel"/>
    <w:tmpl w:val="6726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812FC"/>
    <w:multiLevelType w:val="hybridMultilevel"/>
    <w:tmpl w:val="0600A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A8"/>
    <w:rsid w:val="00152E17"/>
    <w:rsid w:val="001F7942"/>
    <w:rsid w:val="00235A90"/>
    <w:rsid w:val="002F7154"/>
    <w:rsid w:val="003C2C20"/>
    <w:rsid w:val="003E50A0"/>
    <w:rsid w:val="003F3BF9"/>
    <w:rsid w:val="004864DA"/>
    <w:rsid w:val="005456A3"/>
    <w:rsid w:val="005F117C"/>
    <w:rsid w:val="00626D2C"/>
    <w:rsid w:val="006727CD"/>
    <w:rsid w:val="006F6E1D"/>
    <w:rsid w:val="00773534"/>
    <w:rsid w:val="007C5955"/>
    <w:rsid w:val="008E3E99"/>
    <w:rsid w:val="00A00444"/>
    <w:rsid w:val="00A856A8"/>
    <w:rsid w:val="00B90CBC"/>
    <w:rsid w:val="00BB70E0"/>
    <w:rsid w:val="00CB348C"/>
    <w:rsid w:val="00D0676C"/>
    <w:rsid w:val="00D13AC2"/>
    <w:rsid w:val="00D5761B"/>
    <w:rsid w:val="00DC5CAF"/>
    <w:rsid w:val="00EB5986"/>
    <w:rsid w:val="00EF2A07"/>
    <w:rsid w:val="00F64B4E"/>
    <w:rsid w:val="00F86B32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56FC"/>
  <w15:chartTrackingRefBased/>
  <w15:docId w15:val="{25C354AC-2DB1-4C09-8650-1D5B06B6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6A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0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0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lewint\Desktop\E&amp;D%20Report%20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Disabilty</a:t>
            </a:r>
            <a:r>
              <a:rPr lang="en-GB" baseline="0"/>
              <a:t> by Contract Type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Sheet1!$S$3</c:f>
              <c:strCache>
                <c:ptCount val="1"/>
                <c:pt idx="0">
                  <c:v>Support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Sheet1!$T$1:$U$2</c:f>
              <c:strCache>
                <c:ptCount val="2"/>
                <c:pt idx="0">
                  <c:v>2017-18</c:v>
                </c:pt>
                <c:pt idx="1">
                  <c:v>2018-19</c:v>
                </c:pt>
              </c:strCache>
            </c:strRef>
          </c:cat>
          <c:val>
            <c:numRef>
              <c:f>Sheet1!$T$3:$U$3</c:f>
              <c:numCache>
                <c:formatCode>General</c:formatCode>
                <c:ptCount val="2"/>
                <c:pt idx="0">
                  <c:v>42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2A-4599-B1C1-737738FB1B94}"/>
            </c:ext>
          </c:extLst>
        </c:ser>
        <c:ser>
          <c:idx val="1"/>
          <c:order val="1"/>
          <c:tx>
            <c:strRef>
              <c:f>Sheet1!$S$4</c:f>
              <c:strCache>
                <c:ptCount val="1"/>
                <c:pt idx="0">
                  <c:v>Academic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Sheet1!$T$1:$U$2</c:f>
              <c:strCache>
                <c:ptCount val="2"/>
                <c:pt idx="0">
                  <c:v>2017-18</c:v>
                </c:pt>
                <c:pt idx="1">
                  <c:v>2018-19</c:v>
                </c:pt>
              </c:strCache>
            </c:strRef>
          </c:cat>
          <c:val>
            <c:numRef>
              <c:f>Sheet1!$T$4:$U$4</c:f>
              <c:numCache>
                <c:formatCode>General</c:formatCode>
                <c:ptCount val="2"/>
                <c:pt idx="0">
                  <c:v>23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2A-4599-B1C1-737738FB1B9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0331920"/>
        <c:axId val="400333560"/>
      </c:barChart>
      <c:catAx>
        <c:axId val="400331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333560"/>
        <c:crosses val="autoZero"/>
        <c:auto val="1"/>
        <c:lblAlgn val="ctr"/>
        <c:lblOffset val="100"/>
        <c:noMultiLvlLbl val="0"/>
      </c:catAx>
      <c:valAx>
        <c:axId val="40033356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33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D247-A945-4A83-9CD9-51426504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LEWIN</dc:creator>
  <cp:keywords/>
  <dc:description/>
  <cp:lastModifiedBy>THERESA LEWIN </cp:lastModifiedBy>
  <cp:revision>2</cp:revision>
  <dcterms:created xsi:type="dcterms:W3CDTF">2021-05-13T09:14:00Z</dcterms:created>
  <dcterms:modified xsi:type="dcterms:W3CDTF">2021-05-13T09:14:00Z</dcterms:modified>
</cp:coreProperties>
</file>